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Año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2022</w:t>
            </w:r>
          </w:p>
        </w:tc>
        <w:tc>
          <w:tcPr/>
          <w:p>
            <w:pPr/>
            <w:r>
              <w:rPr/>
              <w:t xml:space="preserve">Informe de retribuciones órganos de gobierno y personal eventual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2023</w:t>
            </w:r>
          </w:p>
        </w:tc>
        <w:tc>
          <w:tcPr/>
          <w:p>
            <w:pPr/>
            <w:r>
              <w:rPr/>
              <w:t xml:space="preserve">Informe de retribuciones órganos de gobierno y personal eventual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2023</w:t>
            </w:r>
          </w:p>
        </w:tc>
        <w:tc>
          <w:tcPr/>
          <w:p>
            <w:pPr/>
            <w:r>
              <w:rPr/>
              <w:t xml:space="preserve">Informe de retribuciones órganos de gobierno y personal eventual 2º Semestre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2026-08-30T08:28:47+00:00</dcterms:created>
  <dcterms:modified xsi:type="dcterms:W3CDTF">2026-08-30T08:28:47+00:00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