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/>
        <w:t xml:space="preserve">En 2024 se recibieron un total de </w:t>
      </w:r>
      <w:r>
        <w:rPr>
          <w:b w:val="1"/>
          <w:bCs w:val="1"/>
        </w:rPr>
        <w:t xml:space="preserve">285 solicitudes de acceso a la información pública</w:t>
      </w:r>
      <w:r>
        <w:rPr/>
        <w:t xml:space="preserve">.</w:t>
      </w:r>
    </w:p>
    <w:tbl>
      <w:tblGrid>
        <w:gridCol w:w="2000" w:type="dxa"/>
        <w:gridCol w:w="750" w:type="dxa"/>
        <w:gridCol w:w="750" w:type="dxa"/>
        <w:gridCol w:w="75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>
              <w:jc w:val="start"/>
            </w:pPr>
            <w:r>
              <w:rPr>
                <w:color w:val="ffffff"/>
              </w:rPr>
              <w:t xml:space="preserve">Área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Estimadas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Desestimadas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Pendientes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Total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Urbanismo y Actividades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272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Intervención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Medio Ambiente y Bienestar Animal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Tesorería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Padrón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Obras Municipales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Contratación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Servicios Sociales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Comercio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253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285</w:t>
            </w:r>
          </w:p>
        </w:tc>
      </w:tr>
    </w:tbl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Estado de las solicitudes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Pase el cursor o pulse sobre una categoría para consultar el detalle.</w:t>
      </w:r>
    </w:p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Solicitudes por área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Pulse nuevamente sobre una categoría para volver al total.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2026-08-30T08:28:17+00:00</dcterms:created>
  <dcterms:modified xsi:type="dcterms:W3CDTF">2026-08-30T08:28:17+00:00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