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/>
        <w:t xml:space="preserve">En 2023 se recibieron un total de </w:t>
      </w:r>
      <w:r>
        <w:rPr>
          <w:b w:val="1"/>
          <w:bCs w:val="1"/>
        </w:rPr>
        <w:t xml:space="preserve">255 solicitudes de acceso a la información pública</w:t>
      </w:r>
      <w:r>
        <w:rPr/>
        <w:t xml:space="preserve">.</w:t>
      </w:r>
    </w:p>
    <w:tbl>
      <w:tblGrid>
        <w:gridCol w:w="2000" w:type="dxa"/>
        <w:gridCol w:w="750" w:type="dxa"/>
        <w:gridCol w:w="75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>
              <w:jc w:val="start"/>
            </w:pPr>
            <w:r>
              <w:rPr>
                <w:color w:val="ffffff"/>
              </w:rPr>
              <w:t xml:space="preserve">Área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Desestimadas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Pendientes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Total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Urbanismo y Actividades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245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Medio Ambiente y Bienestar Animal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237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255</w:t>
            </w:r>
          </w:p>
        </w:tc>
      </w:tr>
    </w:tbl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Estado de las solicitudes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Pase el cursor o pulse sobre una categoría para consultar el detalle.</w:t>
      </w:r>
    </w:p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Solicitudes por área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Pulse nuevamente sobre una categoría para volver al total.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2026-10-16T02:23:28+00:00</dcterms:created>
  <dcterms:modified xsi:type="dcterms:W3CDTF">2026-10-16T02:23:28+00:00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